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1068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Соколовой Анастасии Александровны, </w:t>
      </w:r>
      <w:r>
        <w:rPr>
          <w:rStyle w:val="cat-UserDefinedgrp-3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«Продукты»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Соколова А.А.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образования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алкогольной продукции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бутыл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Балтика 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объемом по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20:00 часов,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16 ФЗ-171 от 22.11.1995 «О государственном регулировании производства и оборота этилового спирта, алкогольной и спиртосодержащей продукции», закон Ханты-Мансийского АО - Югры от 16 июня 2016 г. N 46-оз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При указанных обстоятельствах с</w:t>
      </w:r>
      <w:r>
        <w:rPr>
          <w:rFonts w:ascii="Times New Roman" w:eastAsia="Times New Roman" w:hAnsi="Times New Roman" w:cs="Times New Roman"/>
          <w:sz w:val="28"/>
          <w:szCs w:val="28"/>
        </w:rPr>
        <w:t>уд рассмотрел дело в отсутствие Соколовой А.А.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статьи 2 Федерального закона Российской Федерации от 22.11.1995 №171-ФЗ «О государственном регулировании производства и оборота этилового спирта, алкогольной и спиртосодержащей продукции»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r>
        <w:rPr>
          <w:rFonts w:ascii="Times New Roman" w:eastAsia="Times New Roman" w:hAnsi="Times New Roman" w:cs="Times New Roman"/>
          <w:sz w:val="28"/>
          <w:szCs w:val="28"/>
        </w:rPr>
        <w:t>пуаре</w:t>
      </w:r>
      <w:r>
        <w:rPr>
          <w:rFonts w:ascii="Times New Roman" w:eastAsia="Times New Roman" w:hAnsi="Times New Roman" w:cs="Times New Roman"/>
          <w:sz w:val="28"/>
          <w:szCs w:val="28"/>
        </w:rPr>
        <w:t>, медовуха.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18 Федерального закона Российской Федерации от 22.11.1995 №171-ФЗ «О государственном регулировании производства и оборота этилового спирта, алкогольной и спиртосодержащей продукции» лицензии выдаются на осуществление розничной продажи алкогольной продукции.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9 ч.2 ст. 16 Федерального закона Российской Федерации от 22.11.1995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не допускается розничная продажа алкогольной продукции в нестационарных торговых объектах.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 4 Закона Ханты-Мансийского АО - Югры от 16 июня 2016 г. N 46-оз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 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r>
        <w:rPr>
          <w:rFonts w:ascii="Times New Roman" w:eastAsia="Times New Roman" w:hAnsi="Times New Roman" w:cs="Times New Roman"/>
          <w:sz w:val="28"/>
          <w:szCs w:val="28"/>
        </w:rPr>
        <w:t>пуаре</w:t>
      </w:r>
      <w:r>
        <w:rPr>
          <w:rFonts w:ascii="Times New Roman" w:eastAsia="Times New Roman" w:hAnsi="Times New Roman" w:cs="Times New Roman"/>
          <w:sz w:val="28"/>
          <w:szCs w:val="28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должностным лицом индивидуальным предпринимателем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и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 объективно подтверждаются совокупностью исследованных доказательств, а именно: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рапортами сотрудников полиции, в которых изложены обстоятельства административного правонарушения;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изъятия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 места происшествия от </w:t>
      </w:r>
      <w:r>
        <w:rPr>
          <w:rFonts w:ascii="Times New Roman" w:eastAsia="Times New Roman" w:hAnsi="Times New Roman" w:cs="Times New Roman"/>
          <w:sz w:val="28"/>
          <w:szCs w:val="28"/>
        </w:rPr>
        <w:t>18.04.2024</w:t>
      </w:r>
      <w:r>
        <w:rPr>
          <w:rFonts w:ascii="Times New Roman" w:eastAsia="Times New Roman" w:hAnsi="Times New Roman" w:cs="Times New Roman"/>
          <w:sz w:val="28"/>
          <w:szCs w:val="28"/>
        </w:rPr>
        <w:t>; пр</w:t>
      </w:r>
      <w:r>
        <w:rPr>
          <w:rFonts w:ascii="Times New Roman" w:eastAsia="Times New Roman" w:hAnsi="Times New Roman" w:cs="Times New Roman"/>
          <w:sz w:val="28"/>
          <w:szCs w:val="28"/>
        </w:rPr>
        <w:t>изнательными объяснениями самой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копией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аренды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выпиской из ЕРГИП,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постановке на учет физического лица в налоговом органе, копией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w:anchor="sub_1417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 статьи 14.17.1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 не усматривает.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индивидуальному предпринимателю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совершенное им правонарушение назначается с учетом положения ст. 2.4 КоАП РФ, согласно которой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пределах санкции ч. 3 ст. 14.16 КоАП РФ в виде административного штрафа с конфискацией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 бутылки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Балтика 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объемом по </w:t>
      </w:r>
      <w:r>
        <w:rPr>
          <w:rFonts w:ascii="Times New Roman" w:eastAsia="Times New Roman" w:hAnsi="Times New Roman" w:cs="Times New Roman"/>
          <w:sz w:val="28"/>
          <w:szCs w:val="28"/>
        </w:rPr>
        <w:t>1,3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являющ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предметом совершенного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А.А.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ст.ст. 29.9-29.11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Соколову Анастасию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конфискацией алкогольной продукции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 бутылки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Балтика 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объемом по </w:t>
      </w:r>
      <w:r>
        <w:rPr>
          <w:rFonts w:ascii="Times New Roman" w:eastAsia="Times New Roman" w:hAnsi="Times New Roman" w:cs="Times New Roman"/>
          <w:sz w:val="28"/>
          <w:szCs w:val="28"/>
        </w:rPr>
        <w:t>1,3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изъятой согласно протоколу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изъятия от 18.04.2024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дней 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мая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1068-2611/2024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кина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011601333010000140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0412365400665010682414127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 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6">
    <w:name w:val="cat-UserDefined grp-3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